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75"/>
        </w:tabs>
        <w:spacing w:before="26" w:after="54" w:line="228" w:lineRule="auto"/>
        <w:ind w:right="186"/>
        <w:jc w:val="center"/>
        <w:rPr>
          <w:b/>
          <w:sz w:val="28"/>
          <w:szCs w:val="28"/>
        </w:rPr>
      </w:pPr>
      <w:bookmarkStart w:id="0" w:name="成都东软学院“说专业”活动评审表（评审内容）"/>
      <w:bookmarkEnd w:id="0"/>
      <w:r>
        <w:rPr>
          <w:b/>
          <w:sz w:val="28"/>
          <w:szCs w:val="28"/>
        </w:rPr>
        <w:t>“说专业”活动报告内容要求</w:t>
      </w:r>
    </w:p>
    <w:tbl>
      <w:tblPr>
        <w:tblStyle w:val="5"/>
        <w:tblW w:w="0" w:type="auto"/>
        <w:tblInd w:w="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5389"/>
        <w:gridCol w:w="1060"/>
        <w:gridCol w:w="1"/>
        <w:gridCol w:w="1339"/>
        <w:gridCol w:w="4"/>
        <w:gridCol w:w="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05" w:type="dxa"/>
          </w:tcPr>
          <w:p>
            <w:pPr>
              <w:pStyle w:val="9"/>
              <w:spacing w:before="104" w:line="230" w:lineRule="auto"/>
              <w:ind w:left="282" w:right="154" w:hanging="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“说” 指标</w:t>
            </w:r>
          </w:p>
        </w:tc>
        <w:tc>
          <w:tcPr>
            <w:tcW w:w="5389" w:type="dxa"/>
          </w:tcPr>
          <w:p>
            <w:pPr>
              <w:pStyle w:val="9"/>
              <w:spacing w:before="11"/>
              <w:rPr>
                <w:b/>
                <w:sz w:val="18"/>
                <w:szCs w:val="18"/>
              </w:rPr>
            </w:pPr>
          </w:p>
          <w:p>
            <w:pPr>
              <w:pStyle w:val="9"/>
              <w:ind w:left="159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指标（模块）内涵说明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pStyle w:val="9"/>
              <w:spacing w:before="96" w:line="264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是否涉及</w:t>
            </w:r>
          </w:p>
          <w:p>
            <w:pPr>
              <w:pStyle w:val="9"/>
              <w:spacing w:line="264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（有/无）</w:t>
            </w:r>
          </w:p>
        </w:tc>
        <w:tc>
          <w:tcPr>
            <w:tcW w:w="1339" w:type="dxa"/>
            <w:vAlign w:val="center"/>
          </w:tcPr>
          <w:p>
            <w:pPr>
              <w:pStyle w:val="9"/>
              <w:spacing w:line="233" w:lineRule="exact"/>
              <w:ind w:left="131" w:right="9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关联合乎度</w:t>
            </w:r>
          </w:p>
          <w:p>
            <w:pPr>
              <w:pStyle w:val="9"/>
              <w:spacing w:line="259" w:lineRule="exact"/>
              <w:ind w:right="9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（高/中/低）</w:t>
            </w:r>
          </w:p>
        </w:tc>
        <w:tc>
          <w:tcPr>
            <w:tcW w:w="924" w:type="dxa"/>
            <w:gridSpan w:val="2"/>
          </w:tcPr>
          <w:p>
            <w:pPr>
              <w:pStyle w:val="9"/>
              <w:spacing w:before="104" w:line="230" w:lineRule="auto"/>
              <w:ind w:left="152" w:right="9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关联支撑材料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05" w:type="dxa"/>
            <w:vAlign w:val="center"/>
          </w:tcPr>
          <w:p>
            <w:pPr>
              <w:pStyle w:val="9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1.调研论证</w:t>
            </w:r>
          </w:p>
        </w:tc>
        <w:tc>
          <w:tcPr>
            <w:tcW w:w="5389" w:type="dxa"/>
            <w:vAlign w:val="center"/>
          </w:tcPr>
          <w:p>
            <w:pPr>
              <w:pStyle w:val="9"/>
              <w:spacing w:line="230" w:lineRule="auto"/>
              <w:ind w:right="6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调研论证具体要求3-5家行业企业，3-5所高校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sz w:val="18"/>
                <w:szCs w:val="18"/>
              </w:rPr>
              <w:t>并做出对比分析，做出企业、市场与专业的匹配度分析。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pStyle w:val="9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>
            <w:pPr>
              <w:pStyle w:val="9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pStyle w:val="9"/>
              <w:spacing w:before="138" w:line="230" w:lineRule="auto"/>
              <w:ind w:right="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调研分析报告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005" w:type="dxa"/>
            <w:vMerge w:val="restart"/>
            <w:vAlign w:val="center"/>
          </w:tcPr>
          <w:p>
            <w:pPr>
              <w:pStyle w:val="9"/>
              <w:spacing w:before="1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2.专业定位</w:t>
            </w:r>
          </w:p>
        </w:tc>
        <w:tc>
          <w:tcPr>
            <w:tcW w:w="5389" w:type="dxa"/>
            <w:vAlign w:val="center"/>
          </w:tcPr>
          <w:p>
            <w:pPr>
              <w:pStyle w:val="9"/>
              <w:spacing w:before="88" w:line="230" w:lineRule="auto"/>
              <w:ind w:right="17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(1)制定了具有竞争性的人才培养模式，充分体现专业优势与特色；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>
            <w:pPr>
              <w:pStyle w:val="9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39" w:type="dxa"/>
            <w:vMerge w:val="restart"/>
            <w:vAlign w:val="center"/>
          </w:tcPr>
          <w:p>
            <w:pPr>
              <w:pStyle w:val="9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vMerge w:val="restart"/>
            <w:vAlign w:val="center"/>
          </w:tcPr>
          <w:p>
            <w:pPr>
              <w:pStyle w:val="9"/>
              <w:spacing w:before="1" w:line="230" w:lineRule="auto"/>
              <w:ind w:right="1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专业定位分析表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005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89" w:type="dxa"/>
            <w:vAlign w:val="center"/>
          </w:tcPr>
          <w:p>
            <w:pPr>
              <w:pStyle w:val="9"/>
              <w:spacing w:before="165" w:line="230" w:lineRule="auto"/>
              <w:ind w:right="17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(2)定位具有前瞻性，考虑了未来科技进步和社会发展因素对专业可能产生的影响。</w:t>
            </w:r>
          </w:p>
        </w:tc>
        <w:tc>
          <w:tcPr>
            <w:tcW w:w="1061" w:type="dxa"/>
            <w:gridSpan w:val="2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005" w:type="dxa"/>
            <w:vMerge w:val="restart"/>
            <w:vAlign w:val="center"/>
          </w:tcPr>
          <w:p>
            <w:pPr>
              <w:pStyle w:val="9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3.培养目标</w:t>
            </w:r>
          </w:p>
        </w:tc>
        <w:tc>
          <w:tcPr>
            <w:tcW w:w="5389" w:type="dxa"/>
            <w:vAlign w:val="center"/>
          </w:tcPr>
          <w:p>
            <w:pPr>
              <w:pStyle w:val="9"/>
              <w:spacing w:before="105" w:line="230" w:lineRule="auto"/>
              <w:ind w:left="37" w:right="17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(1)专业培养的TOPCARES能力指标明确具体，符合预期就业岗位（群）的要求；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>
            <w:pPr>
              <w:pStyle w:val="9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39" w:type="dxa"/>
            <w:vMerge w:val="restart"/>
            <w:vAlign w:val="center"/>
          </w:tcPr>
          <w:p>
            <w:pPr>
              <w:pStyle w:val="9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vMerge w:val="restart"/>
            <w:vAlign w:val="center"/>
          </w:tcPr>
          <w:p>
            <w:pPr>
              <w:pStyle w:val="9"/>
              <w:spacing w:before="175" w:line="230" w:lineRule="auto"/>
              <w:ind w:right="1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专业定位分析表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05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89" w:type="dxa"/>
            <w:vAlign w:val="center"/>
          </w:tcPr>
          <w:p>
            <w:pPr>
              <w:pStyle w:val="9"/>
              <w:spacing w:before="171"/>
              <w:ind w:left="3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(2)专业培养目标能够支持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学校</w:t>
            </w:r>
            <w:r>
              <w:rPr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学院</w:t>
            </w:r>
            <w:r>
              <w:rPr>
                <w:sz w:val="18"/>
                <w:szCs w:val="18"/>
              </w:rPr>
              <w:t>的发展目标。</w:t>
            </w:r>
          </w:p>
        </w:tc>
        <w:tc>
          <w:tcPr>
            <w:tcW w:w="1061" w:type="dxa"/>
            <w:gridSpan w:val="2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005" w:type="dxa"/>
            <w:vMerge w:val="restart"/>
            <w:vAlign w:val="center"/>
          </w:tcPr>
          <w:p>
            <w:pPr>
              <w:pStyle w:val="9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4.课程体系</w:t>
            </w:r>
          </w:p>
        </w:tc>
        <w:tc>
          <w:tcPr>
            <w:tcW w:w="5389" w:type="dxa"/>
            <w:vAlign w:val="center"/>
          </w:tcPr>
          <w:p>
            <w:pPr>
              <w:pStyle w:val="9"/>
              <w:spacing w:before="43" w:line="230" w:lineRule="auto"/>
              <w:ind w:left="37" w:right="17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(1)主干课程体现了削枝强干，所覆盖的能力指标有充分的论证，并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有</w:t>
            </w:r>
            <w:r>
              <w:rPr>
                <w:sz w:val="18"/>
                <w:szCs w:val="18"/>
              </w:rPr>
              <w:t>具体的考核办法对指标是否达成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进行</w:t>
            </w:r>
            <w:r>
              <w:rPr>
                <w:sz w:val="18"/>
                <w:szCs w:val="18"/>
              </w:rPr>
              <w:t>测量；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>
            <w:pPr>
              <w:pStyle w:val="9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39" w:type="dxa"/>
            <w:vMerge w:val="restart"/>
            <w:vAlign w:val="center"/>
          </w:tcPr>
          <w:p>
            <w:pPr>
              <w:pStyle w:val="9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vMerge w:val="restart"/>
            <w:vAlign w:val="center"/>
          </w:tcPr>
          <w:p>
            <w:pPr>
              <w:pStyle w:val="9"/>
              <w:spacing w:line="230" w:lineRule="auto"/>
              <w:ind w:right="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专业人才培养方案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05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89" w:type="dxa"/>
            <w:vAlign w:val="center"/>
          </w:tcPr>
          <w:p>
            <w:pPr>
              <w:pStyle w:val="9"/>
              <w:spacing w:before="112" w:line="230" w:lineRule="auto"/>
              <w:ind w:left="37" w:right="17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(2)形成了理论与实践结合、课内与课外结合的课程体系，突出专业核心能力主线；</w:t>
            </w:r>
          </w:p>
        </w:tc>
        <w:tc>
          <w:tcPr>
            <w:tcW w:w="1061" w:type="dxa"/>
            <w:gridSpan w:val="2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005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89" w:type="dxa"/>
            <w:vAlign w:val="center"/>
          </w:tcPr>
          <w:p>
            <w:pPr>
              <w:pStyle w:val="9"/>
              <w:spacing w:before="67" w:line="230" w:lineRule="auto"/>
              <w:ind w:left="37" w:right="17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(3)TOPCARES能力指标落实到课程当中，能力培养体现了渐次递进的关系；</w:t>
            </w:r>
          </w:p>
        </w:tc>
        <w:tc>
          <w:tcPr>
            <w:tcW w:w="1061" w:type="dxa"/>
            <w:gridSpan w:val="2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05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89" w:type="dxa"/>
            <w:vAlign w:val="center"/>
          </w:tcPr>
          <w:p>
            <w:pPr>
              <w:pStyle w:val="9"/>
              <w:spacing w:before="59" w:line="230" w:lineRule="auto"/>
              <w:ind w:left="37" w:right="17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(4)课程体系引入了相关行业、企业合作开发课程， 或专业（职业）资格认证课程。</w:t>
            </w:r>
          </w:p>
        </w:tc>
        <w:tc>
          <w:tcPr>
            <w:tcW w:w="1061" w:type="dxa"/>
            <w:gridSpan w:val="2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005" w:type="dxa"/>
            <w:vMerge w:val="restart"/>
            <w:vAlign w:val="center"/>
          </w:tcPr>
          <w:p>
            <w:pPr>
              <w:pStyle w:val="9"/>
              <w:spacing w:line="235" w:lineRule="auto"/>
              <w:ind w:right="25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5.实践教学建设</w:t>
            </w:r>
          </w:p>
        </w:tc>
        <w:tc>
          <w:tcPr>
            <w:tcW w:w="5389" w:type="dxa"/>
            <w:vAlign w:val="center"/>
          </w:tcPr>
          <w:p>
            <w:pPr>
              <w:pStyle w:val="9"/>
              <w:spacing w:before="52" w:line="230" w:lineRule="auto"/>
              <w:ind w:left="37" w:right="1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(1)各级项目设计合理、内容具体，项目与对应的主干课程联系紧密。有精心设计、内容详细的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1、2</w:t>
            </w:r>
            <w:r>
              <w:rPr>
                <w:sz w:val="18"/>
                <w:szCs w:val="18"/>
              </w:rPr>
              <w:t>级项目等综合性实践环节；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>
            <w:pPr>
              <w:pStyle w:val="9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39" w:type="dxa"/>
            <w:vMerge w:val="restart"/>
            <w:vAlign w:val="center"/>
          </w:tcPr>
          <w:p>
            <w:pPr>
              <w:pStyle w:val="9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vMerge w:val="restart"/>
            <w:vAlign w:val="center"/>
          </w:tcPr>
          <w:p>
            <w:pPr>
              <w:pStyle w:val="9"/>
              <w:spacing w:line="230" w:lineRule="auto"/>
              <w:ind w:right="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人才</w:t>
            </w:r>
            <w:r>
              <w:rPr>
                <w:sz w:val="18"/>
                <w:szCs w:val="18"/>
              </w:rPr>
              <w:t>培养方案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005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89" w:type="dxa"/>
            <w:vAlign w:val="center"/>
          </w:tcPr>
          <w:p>
            <w:pPr>
              <w:pStyle w:val="9"/>
              <w:spacing w:line="230" w:lineRule="auto"/>
              <w:ind w:left="37" w:right="1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(2)规划了分阶段、分层次、渐次递进的实践学期课程体系，能够引导学生开展一体化学习、主动学习、经验学习。</w:t>
            </w:r>
          </w:p>
        </w:tc>
        <w:tc>
          <w:tcPr>
            <w:tcW w:w="1061" w:type="dxa"/>
            <w:gridSpan w:val="2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005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89" w:type="dxa"/>
            <w:vAlign w:val="center"/>
          </w:tcPr>
          <w:p>
            <w:pPr>
              <w:pStyle w:val="9"/>
              <w:spacing w:before="95" w:line="230" w:lineRule="auto"/>
              <w:ind w:right="1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(3)根据专业建设规划，积极建设校内外实训基地， 并在基地开展多层次实训、实习教学活动，有系统的管理办法和实训实习教学工作总结材料。</w:t>
            </w:r>
          </w:p>
        </w:tc>
        <w:tc>
          <w:tcPr>
            <w:tcW w:w="1061" w:type="dxa"/>
            <w:gridSpan w:val="2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005" w:type="dxa"/>
            <w:vMerge w:val="restart"/>
            <w:vAlign w:val="center"/>
          </w:tcPr>
          <w:p>
            <w:pPr>
              <w:pStyle w:val="9"/>
              <w:spacing w:before="141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6.师资队伍</w:t>
            </w:r>
          </w:p>
        </w:tc>
        <w:tc>
          <w:tcPr>
            <w:tcW w:w="5389" w:type="dxa"/>
            <w:vAlign w:val="center"/>
          </w:tcPr>
          <w:p>
            <w:pPr>
              <w:pStyle w:val="9"/>
              <w:spacing w:before="128" w:line="230" w:lineRule="auto"/>
              <w:ind w:right="10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(1)师资队伍结构合理、双师双能结构，学缘学历和职称比例合符教学需要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060" w:type="dxa"/>
            <w:vMerge w:val="restart"/>
            <w:vAlign w:val="center"/>
          </w:tcPr>
          <w:p>
            <w:pPr>
              <w:pStyle w:val="9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3"/>
            <w:vMerge w:val="restart"/>
            <w:vAlign w:val="center"/>
          </w:tcPr>
          <w:p>
            <w:pPr>
              <w:pStyle w:val="9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vAlign w:val="center"/>
          </w:tcPr>
          <w:p>
            <w:pPr>
              <w:pStyle w:val="9"/>
              <w:spacing w:before="1" w:line="230" w:lineRule="auto"/>
              <w:ind w:right="1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专业人才培养方案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05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89" w:type="dxa"/>
            <w:vAlign w:val="center"/>
          </w:tcPr>
          <w:p>
            <w:pPr>
              <w:pStyle w:val="9"/>
              <w:spacing w:before="43" w:line="277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(2)师资队伍的建设提升，内培外引，培训培养机制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44" w:type="dxa"/>
            <w:gridSpan w:val="3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05" w:type="dxa"/>
            <w:vMerge w:val="restart"/>
            <w:vAlign w:val="center"/>
          </w:tcPr>
          <w:p>
            <w:pPr>
              <w:pStyle w:val="9"/>
              <w:spacing w:line="235" w:lineRule="auto"/>
              <w:ind w:right="16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7</w:t>
            </w:r>
            <w:r>
              <w:rPr>
                <w:b/>
                <w:sz w:val="18"/>
                <w:szCs w:val="18"/>
              </w:rPr>
              <w:t>.专业特色建设与描述</w:t>
            </w:r>
          </w:p>
        </w:tc>
        <w:tc>
          <w:tcPr>
            <w:tcW w:w="5389" w:type="dxa"/>
            <w:vAlign w:val="center"/>
          </w:tcPr>
          <w:p>
            <w:pPr>
              <w:pStyle w:val="9"/>
              <w:spacing w:before="194" w:line="230" w:lineRule="auto"/>
              <w:ind w:right="17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(1) 有本专业特色的建设思考，并付诸到专业建设和教学改革的行动中，现已形成或正在逐渐形成本专业的特色（如产学合作、创新创业、国际化程度、独特岗位群定位等）。</w:t>
            </w:r>
          </w:p>
        </w:tc>
        <w:tc>
          <w:tcPr>
            <w:tcW w:w="1060" w:type="dxa"/>
            <w:vAlign w:val="center"/>
          </w:tcPr>
          <w:p>
            <w:pPr>
              <w:pStyle w:val="9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3"/>
            <w:vAlign w:val="center"/>
          </w:tcPr>
          <w:p>
            <w:pPr>
              <w:pStyle w:val="9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vAlign w:val="center"/>
          </w:tcPr>
          <w:p>
            <w:pPr>
              <w:pStyle w:val="9"/>
              <w:spacing w:before="1" w:line="230" w:lineRule="auto"/>
              <w:ind w:right="-1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特色总结性材料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005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389" w:type="dxa"/>
            <w:vAlign w:val="center"/>
          </w:tcPr>
          <w:p>
            <w:pPr>
              <w:pStyle w:val="9"/>
              <w:spacing w:before="67" w:line="230" w:lineRule="auto"/>
              <w:ind w:left="38" w:right="176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(2) 专业特色在本专业的课程体系建设中的表现、或者在教育全过程中的设计，有方案、有佐证，有成果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060" w:type="dxa"/>
            <w:vAlign w:val="center"/>
          </w:tcPr>
          <w:p>
            <w:pPr>
              <w:pStyle w:val="9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3"/>
            <w:vAlign w:val="center"/>
          </w:tcPr>
          <w:p>
            <w:pPr>
              <w:pStyle w:val="9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05" w:type="dxa"/>
            <w:vMerge w:val="restart"/>
            <w:vAlign w:val="center"/>
          </w:tcPr>
          <w:p>
            <w:pPr>
              <w:pStyle w:val="9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8.毕业要求</w:t>
            </w:r>
          </w:p>
        </w:tc>
        <w:tc>
          <w:tcPr>
            <w:tcW w:w="5389" w:type="dxa"/>
            <w:vAlign w:val="center"/>
          </w:tcPr>
          <w:p>
            <w:pPr>
              <w:pStyle w:val="9"/>
              <w:spacing w:before="134" w:line="230" w:lineRule="auto"/>
              <w:ind w:left="38" w:right="1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(1) 毕业生毕业要求符合教育部相关文件精神，符合教育部专业教学指导委员会规定。</w:t>
            </w:r>
          </w:p>
        </w:tc>
        <w:tc>
          <w:tcPr>
            <w:tcW w:w="1060" w:type="dxa"/>
            <w:vMerge w:val="restart"/>
            <w:vAlign w:val="center"/>
          </w:tcPr>
          <w:p>
            <w:pPr>
              <w:pStyle w:val="9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3"/>
            <w:vMerge w:val="restart"/>
            <w:vAlign w:val="center"/>
          </w:tcPr>
          <w:p>
            <w:pPr>
              <w:pStyle w:val="9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vAlign w:val="center"/>
          </w:tcPr>
          <w:p>
            <w:pPr>
              <w:pStyle w:val="9"/>
              <w:spacing w:before="1" w:line="230" w:lineRule="auto"/>
              <w:ind w:right="1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毕业要求及达成度评价方案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1005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>
            <w:pPr>
              <w:pStyle w:val="9"/>
              <w:rPr>
                <w:b/>
                <w:sz w:val="17"/>
              </w:rPr>
            </w:pPr>
          </w:p>
          <w:p>
            <w:pPr>
              <w:pStyle w:val="9"/>
              <w:ind w:left="38"/>
              <w:rPr>
                <w:sz w:val="22"/>
              </w:rPr>
            </w:pPr>
            <w:r>
              <w:rPr>
                <w:sz w:val="18"/>
                <w:szCs w:val="18"/>
              </w:rPr>
              <w:t>(2) 毕业生毕业要求能够有效支撑专业的培养目标。</w:t>
            </w:r>
          </w:p>
        </w:tc>
        <w:tc>
          <w:tcPr>
            <w:tcW w:w="106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gridSpan w:val="3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05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>
            <w:pPr>
              <w:pStyle w:val="9"/>
              <w:spacing w:before="143" w:line="230" w:lineRule="auto"/>
              <w:ind w:left="38" w:right="10"/>
              <w:rPr>
                <w:sz w:val="22"/>
              </w:rPr>
            </w:pPr>
            <w:r>
              <w:rPr>
                <w:sz w:val="18"/>
                <w:szCs w:val="18"/>
              </w:rPr>
              <w:t>(3) 毕业生毕业要求能够清晰体现专业能力的培养,如何实施达成度检测与分析。</w:t>
            </w:r>
          </w:p>
        </w:tc>
        <w:tc>
          <w:tcPr>
            <w:tcW w:w="106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gridSpan w:val="3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9"/>
        <w:spacing w:before="6"/>
        <w:rPr>
          <w:b/>
          <w:sz w:val="15"/>
        </w:rPr>
      </w:pPr>
      <w:bookmarkStart w:id="1" w:name="成都东软学院“说专业”活动评审表"/>
      <w:bookmarkEnd w:id="1"/>
    </w:p>
    <w:p>
      <w:pPr>
        <w:pStyle w:val="9"/>
        <w:spacing w:line="230" w:lineRule="auto"/>
        <w:ind w:left="32" w:right="143"/>
        <w:jc w:val="both"/>
        <w:rPr>
          <w:rFonts w:ascii="Times New Roman"/>
          <w:sz w:val="18"/>
          <w:szCs w:val="18"/>
        </w:rPr>
      </w:pPr>
      <w:r>
        <w:rPr>
          <w:b/>
          <w:color w:val="FF0000"/>
          <w:w w:val="99"/>
          <w:sz w:val="18"/>
          <w:szCs w:val="18"/>
        </w:rPr>
        <w:t xml:space="preserve">  </w:t>
      </w:r>
      <w:r>
        <w:rPr>
          <w:sz w:val="18"/>
          <w:szCs w:val="18"/>
        </w:rPr>
        <w:t xml:space="preserve"> 注：“说专业”的过程，就是要本专业的专业负责人、带头人、归属本专业的专任教师，能够说出这些内容，通过报告和口头的方式陈述其中每项内容所涵盖的意义和有关行动（建设）计划、措施和管理、检查方略。</w:t>
      </w:r>
      <w:bookmarkStart w:id="2" w:name="_GoBack"/>
      <w:bookmarkEnd w:id="2"/>
    </w:p>
    <w:sectPr>
      <w:pgSz w:w="11906" w:h="16838"/>
      <w:pgMar w:top="1060" w:right="918" w:bottom="278" w:left="10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88B0CBB"/>
    <w:rsid w:val="14582148"/>
    <w:rsid w:val="206F3C7F"/>
    <w:rsid w:val="2AE668BF"/>
    <w:rsid w:val="3EFD56B7"/>
    <w:rsid w:val="4E1B6806"/>
    <w:rsid w:val="4E3139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2"/>
      <w:ind w:left="804" w:right="1942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800"/>
      <w:outlineLvl w:val="2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104" w:hanging="312"/>
    </w:pPr>
    <w:rPr>
      <w:rFonts w:ascii="仿宋" w:hAnsi="仿宋" w:eastAsia="仿宋" w:cs="仿宋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ScaleCrop>false</ScaleCrop>
  <LinksUpToDate>false</LinksUpToDate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2021-07-06T02:44:00Z</dcterms:created>
  <dc:creator>winkle1383059155</dc:creator>
  <cp:lastModifiedBy>Nemo</cp:lastModifiedBy>
  <cp:lastPrinted>2021-07-06T08:48:00Z</cp:lastPrinted>
  <dcterms:modified xsi:type="dcterms:W3CDTF">2021-07-09T06:51:06Z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2019-04-27T00:00:00Z</vt:filetime>
  </property>
  <property fmtid="{D5CDD505-2E9C-101B-9397-08002B2CF9AE}" pid="3" name="Creator">
    <vt:lpwstr>Adobe Acrobat Pro DC 15.7.20033</vt:lpwstr>
  </property>
  <property fmtid="{D5CDD505-2E9C-101B-9397-08002B2CF9AE}" pid="4" name="LastSaved">
    <vt:filetime>2021-07-06T00:00:00Z</vt:filetime>
  </property>
  <property fmtid="{D5CDD505-2E9C-101B-9397-08002B2CF9AE}" pid="5" name="KSOProductBuildVer">
    <vt:lpwstr>2052-11.1.0.10578</vt:lpwstr>
  </property>
  <property fmtid="{D5CDD505-2E9C-101B-9397-08002B2CF9AE}" pid="6" name="ICV">
    <vt:lpwstr>82CC83FC79924D9D987B2BB27619B206</vt:lpwstr>
  </property>
</Properties>
</file>